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7B8" w:rsidRDefault="00F437B8" w:rsidP="00F437B8">
      <w:pPr>
        <w:spacing w:after="180" w:line="240" w:lineRule="atLeast"/>
        <w:rPr>
          <w:rFonts w:ascii="Arial" w:eastAsia="Times New Roman" w:hAnsi="Arial" w:cs="Arial"/>
          <w:color w:val="726E6E"/>
          <w:sz w:val="18"/>
          <w:szCs w:val="18"/>
          <w:lang w:eastAsia="es-ES"/>
        </w:rPr>
      </w:pPr>
      <w:r w:rsidRPr="009127A5">
        <w:rPr>
          <w:rFonts w:ascii="Arial" w:eastAsia="Times New Roman" w:hAnsi="Arial" w:cs="Arial"/>
          <w:b/>
          <w:bCs/>
          <w:color w:val="D34545"/>
          <w:kern w:val="36"/>
          <w:sz w:val="30"/>
          <w:szCs w:val="30"/>
          <w:lang w:eastAsia="es-ES"/>
        </w:rPr>
        <w:t>Los anticoagulantes de acción directa reducen la mortalidad por sangrado</w:t>
      </w:r>
      <w:bookmarkStart w:id="0" w:name="_GoBack"/>
      <w:bookmarkEnd w:id="0"/>
    </w:p>
    <w:p w:rsidR="00F437B8" w:rsidRPr="009127A5" w:rsidRDefault="00F437B8" w:rsidP="00F437B8">
      <w:pPr>
        <w:spacing w:after="180" w:line="240" w:lineRule="atLeast"/>
        <w:rPr>
          <w:rFonts w:ascii="Arial" w:eastAsia="Times New Roman" w:hAnsi="Arial" w:cs="Arial"/>
          <w:color w:val="726E6E"/>
          <w:sz w:val="18"/>
          <w:szCs w:val="18"/>
          <w:lang w:eastAsia="es-ES"/>
        </w:rPr>
      </w:pPr>
      <w:r w:rsidRPr="009127A5">
        <w:rPr>
          <w:rFonts w:ascii="Arial" w:eastAsia="Times New Roman" w:hAnsi="Arial" w:cs="Arial"/>
          <w:color w:val="726E6E"/>
          <w:sz w:val="18"/>
          <w:szCs w:val="18"/>
          <w:lang w:eastAsia="es-ES"/>
        </w:rPr>
        <w:t>En el contexto del 21 Congreso Anual de la Asociación Europea de Hematología (EHA), la investigadora Laura Franco, de la Universidad de Perugia (Italia), ha presentado un estudio prospectivo basado en condiciones reales de uso de diferentes tipos de fármacos con el objetivo de investigar la relación entre el sangrado, la mortalidad asociada y el uso de dichos fármacos.</w:t>
      </w:r>
      <w:r w:rsidRPr="009127A5">
        <w:rPr>
          <w:rFonts w:ascii="Arial" w:eastAsia="Times New Roman" w:hAnsi="Arial" w:cs="Arial"/>
          <w:color w:val="726E6E"/>
          <w:sz w:val="18"/>
          <w:szCs w:val="18"/>
          <w:lang w:eastAsia="es-ES"/>
        </w:rPr>
        <w:br/>
      </w:r>
      <w:r w:rsidRPr="009127A5">
        <w:rPr>
          <w:rFonts w:ascii="Arial" w:eastAsia="Times New Roman" w:hAnsi="Arial" w:cs="Arial"/>
          <w:color w:val="726E6E"/>
          <w:sz w:val="18"/>
          <w:szCs w:val="18"/>
          <w:lang w:eastAsia="es-ES"/>
        </w:rPr>
        <w:br/>
        <w:t>El estudio se llevó a cabo a partir de una muestra de 874 pacientes con hemorragia mayor. Entre éstos, 220 pacientes estaban bajo tratamiento de Anticoagulantes Orales de Acción Directa (</w:t>
      </w:r>
      <w:proofErr w:type="spellStart"/>
      <w:r w:rsidRPr="009127A5">
        <w:rPr>
          <w:rFonts w:ascii="Arial" w:eastAsia="Times New Roman" w:hAnsi="Arial" w:cs="Arial"/>
          <w:color w:val="726E6E"/>
          <w:sz w:val="18"/>
          <w:szCs w:val="18"/>
          <w:lang w:eastAsia="es-ES"/>
        </w:rPr>
        <w:t>ACODs</w:t>
      </w:r>
      <w:proofErr w:type="spellEnd"/>
      <w:r w:rsidRPr="009127A5">
        <w:rPr>
          <w:rFonts w:ascii="Arial" w:eastAsia="Times New Roman" w:hAnsi="Arial" w:cs="Arial"/>
          <w:color w:val="726E6E"/>
          <w:sz w:val="18"/>
          <w:szCs w:val="18"/>
          <w:lang w:eastAsia="es-ES"/>
        </w:rPr>
        <w:t xml:space="preserve">) y los otros 654 tomaban </w:t>
      </w:r>
      <w:proofErr w:type="spellStart"/>
      <w:r w:rsidRPr="009127A5">
        <w:rPr>
          <w:rFonts w:ascii="Arial" w:eastAsia="Times New Roman" w:hAnsi="Arial" w:cs="Arial"/>
          <w:color w:val="726E6E"/>
          <w:sz w:val="18"/>
          <w:szCs w:val="18"/>
          <w:lang w:eastAsia="es-ES"/>
        </w:rPr>
        <w:t>antivitamina</w:t>
      </w:r>
      <w:proofErr w:type="spellEnd"/>
      <w:r w:rsidRPr="009127A5">
        <w:rPr>
          <w:rFonts w:ascii="Arial" w:eastAsia="Times New Roman" w:hAnsi="Arial" w:cs="Arial"/>
          <w:color w:val="726E6E"/>
          <w:sz w:val="18"/>
          <w:szCs w:val="18"/>
          <w:lang w:eastAsia="es-ES"/>
        </w:rPr>
        <w:t xml:space="preserve"> K (AVK). Los resultados mostraron como entre los que tomaban los ACOD, el 22% presentó una hemorragia intracraneal en comparación al 52% de los que tomaban el tratamiento tradicional. Aunque en hemorragia gastrointestinal los porcentajes fueron superiores para los ACOD (46% y 24% respectivamente).</w:t>
      </w:r>
      <w:r w:rsidRPr="009127A5">
        <w:rPr>
          <w:rFonts w:ascii="Arial" w:eastAsia="Times New Roman" w:hAnsi="Arial" w:cs="Arial"/>
          <w:color w:val="726E6E"/>
          <w:sz w:val="18"/>
          <w:szCs w:val="18"/>
          <w:lang w:eastAsia="es-ES"/>
        </w:rPr>
        <w:br/>
      </w:r>
      <w:r w:rsidRPr="009127A5">
        <w:rPr>
          <w:rFonts w:ascii="Arial" w:eastAsia="Times New Roman" w:hAnsi="Arial" w:cs="Arial"/>
          <w:color w:val="726E6E"/>
          <w:sz w:val="18"/>
          <w:szCs w:val="18"/>
          <w:lang w:eastAsia="es-ES"/>
        </w:rPr>
        <w:br/>
        <w:t xml:space="preserve">A pesar del mayor porcentaje en la hemorragia gastrointestinal, los </w:t>
      </w:r>
      <w:proofErr w:type="spellStart"/>
      <w:r w:rsidRPr="009127A5">
        <w:rPr>
          <w:rFonts w:ascii="Arial" w:eastAsia="Times New Roman" w:hAnsi="Arial" w:cs="Arial"/>
          <w:color w:val="726E6E"/>
          <w:sz w:val="18"/>
          <w:szCs w:val="18"/>
          <w:lang w:eastAsia="es-ES"/>
        </w:rPr>
        <w:t>ACODs</w:t>
      </w:r>
      <w:proofErr w:type="spellEnd"/>
      <w:r w:rsidRPr="009127A5">
        <w:rPr>
          <w:rFonts w:ascii="Arial" w:eastAsia="Times New Roman" w:hAnsi="Arial" w:cs="Arial"/>
          <w:color w:val="726E6E"/>
          <w:sz w:val="18"/>
          <w:szCs w:val="18"/>
          <w:lang w:eastAsia="es-ES"/>
        </w:rPr>
        <w:t xml:space="preserve"> reducen la tasa de mortalidad precisamente porque reducen el riesgo de sangrado intracraneal. Así, las diferencias en las tasas de mortalidad a los 30 días, fue del 10% entre los que tomaban </w:t>
      </w:r>
      <w:proofErr w:type="spellStart"/>
      <w:r w:rsidRPr="009127A5">
        <w:rPr>
          <w:rFonts w:ascii="Arial" w:eastAsia="Times New Roman" w:hAnsi="Arial" w:cs="Arial"/>
          <w:color w:val="726E6E"/>
          <w:sz w:val="18"/>
          <w:szCs w:val="18"/>
          <w:lang w:eastAsia="es-ES"/>
        </w:rPr>
        <w:t>ACODs</w:t>
      </w:r>
      <w:proofErr w:type="spellEnd"/>
      <w:r w:rsidRPr="009127A5">
        <w:rPr>
          <w:rFonts w:ascii="Arial" w:eastAsia="Times New Roman" w:hAnsi="Arial" w:cs="Arial"/>
          <w:color w:val="726E6E"/>
          <w:sz w:val="18"/>
          <w:szCs w:val="18"/>
          <w:lang w:eastAsia="es-ES"/>
        </w:rPr>
        <w:t xml:space="preserve"> y del 17% entre los que estaban bajo tratamiento con AVK.</w:t>
      </w:r>
      <w:r w:rsidRPr="009127A5">
        <w:rPr>
          <w:rFonts w:ascii="Arial" w:eastAsia="Times New Roman" w:hAnsi="Arial" w:cs="Arial"/>
          <w:color w:val="726E6E"/>
          <w:sz w:val="18"/>
          <w:szCs w:val="18"/>
          <w:lang w:eastAsia="es-ES"/>
        </w:rPr>
        <w:br/>
      </w:r>
      <w:r w:rsidRPr="009127A5">
        <w:rPr>
          <w:rFonts w:ascii="Arial" w:eastAsia="Times New Roman" w:hAnsi="Arial" w:cs="Arial"/>
          <w:color w:val="726E6E"/>
          <w:sz w:val="18"/>
          <w:szCs w:val="18"/>
          <w:lang w:eastAsia="es-ES"/>
        </w:rPr>
        <w:br/>
        <w:t>En definitiva, unos resultados, basados en la práctica real de uso de los ACOD, que evidencian menores tasas de hemorragia intracraneal y en consecuencia menores tasas de mortalidad que los AVK.</w:t>
      </w:r>
    </w:p>
    <w:p w:rsidR="00772A6E" w:rsidRDefault="00F437B8" w:rsidP="00F437B8">
      <w:r w:rsidRPr="009127A5">
        <w:rPr>
          <w:rFonts w:ascii="Arial" w:eastAsia="Times New Roman" w:hAnsi="Arial" w:cs="Arial"/>
          <w:color w:val="726E6E"/>
          <w:sz w:val="18"/>
          <w:szCs w:val="18"/>
          <w:lang w:eastAsia="es-ES"/>
        </w:rPr>
        <w:t>Fuente: Correo farmacéutico.</w:t>
      </w:r>
    </w:p>
    <w:sectPr w:rsidR="00772A6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7B8"/>
    <w:rsid w:val="00772A6E"/>
    <w:rsid w:val="00F437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7B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7B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1296</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2016-07-12T09:44:00Z</dcterms:created>
  <dcterms:modified xsi:type="dcterms:W3CDTF">2016-07-12T09:45:00Z</dcterms:modified>
</cp:coreProperties>
</file>